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 июля </w:t>
      </w:r>
      <w:r>
        <w:rPr>
          <w:rFonts w:ascii="Times New Roman" w:eastAsia="Times New Roman" w:hAnsi="Times New Roman" w:cs="Times New Roman"/>
        </w:rPr>
        <w:t xml:space="preserve">2025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627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>специалиста кадрового учета АО «Рыбокомбинат Ханты-Мансийский»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Мельник Татьяны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Мельник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специалистом</w:t>
      </w:r>
      <w:r>
        <w:rPr>
          <w:rFonts w:ascii="Times New Roman" w:eastAsia="Times New Roman" w:hAnsi="Times New Roman" w:cs="Times New Roman"/>
        </w:rPr>
        <w:t xml:space="preserve"> кадрового учета АО «Рыбокомбинат 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предоставила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0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28.05.2025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Мельник Т.В</w:t>
      </w:r>
      <w:r>
        <w:rPr>
          <w:rFonts w:ascii="Times New Roman" w:eastAsia="Times New Roman" w:hAnsi="Times New Roman" w:cs="Times New Roman"/>
        </w:rPr>
        <w:t>. не явилась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нее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извещенной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Мельник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24.06.2025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04.06.2025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02.06.2025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обращением;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Мельник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Мельник Т.В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специалиста кадрового учета АО «Рыбокомбинат Ханты-Мансийский»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Мельник Татьяну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303398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8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